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2" w:line="222" w:lineRule="auto"/>
        <w:ind w:left="2408"/>
        <w:outlineLvl w:val="0"/>
        <w:rPr>
          <w:sz w:val="32"/>
          <w:szCs w:val="32"/>
          <w:lang w:eastAsia="zh-CN"/>
        </w:rPr>
      </w:pPr>
      <w:r>
        <w:rPr>
          <w:b/>
          <w:bCs/>
          <w:sz w:val="32"/>
          <w:szCs w:val="32"/>
          <w:lang w:eastAsia="zh-CN"/>
        </w:rPr>
        <w:t>其他运转类项目支出绩效目标申报表</w:t>
      </w:r>
    </w:p>
    <w:p>
      <w:pPr>
        <w:pStyle w:val="2"/>
        <w:spacing w:before="65" w:line="259" w:lineRule="exact"/>
        <w:ind w:left="3918"/>
        <w:rPr>
          <w:sz w:val="24"/>
          <w:szCs w:val="24"/>
        </w:rPr>
      </w:pPr>
      <w:r>
        <w:rPr>
          <w:spacing w:val="1"/>
          <w:position w:val="1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1"/>
          <w:position w:val="1"/>
          <w:sz w:val="24"/>
          <w:szCs w:val="24"/>
        </w:rPr>
        <w:t>2026</w:t>
      </w:r>
      <w:r>
        <w:rPr>
          <w:spacing w:val="1"/>
          <w:position w:val="1"/>
          <w:sz w:val="24"/>
          <w:szCs w:val="24"/>
        </w:rPr>
        <w:t>年度）</w:t>
      </w:r>
    </w:p>
    <w:p>
      <w:pPr>
        <w:spacing w:line="31" w:lineRule="exact"/>
        <w:rPr>
          <w:sz w:val="24"/>
          <w:szCs w:val="24"/>
        </w:rPr>
      </w:pPr>
    </w:p>
    <w:tbl>
      <w:tblPr>
        <w:tblStyle w:val="7"/>
        <w:tblW w:w="9886" w:type="dxa"/>
        <w:tblInd w:w="-1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682"/>
        <w:gridCol w:w="979"/>
        <w:gridCol w:w="3221"/>
        <w:gridCol w:w="42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397" w:type="dxa"/>
            <w:gridSpan w:val="3"/>
          </w:tcPr>
          <w:p>
            <w:pPr>
              <w:spacing w:before="61" w:line="224" w:lineRule="auto"/>
              <w:ind w:left="7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项目名称</w:t>
            </w:r>
          </w:p>
        </w:tc>
        <w:tc>
          <w:tcPr>
            <w:tcW w:w="7489" w:type="dxa"/>
            <w:gridSpan w:val="2"/>
          </w:tcPr>
          <w:p>
            <w:pPr>
              <w:spacing w:before="61" w:line="224" w:lineRule="auto"/>
              <w:ind w:firstLine="2480" w:firstLineChars="10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397" w:type="dxa"/>
            <w:gridSpan w:val="3"/>
          </w:tcPr>
          <w:p>
            <w:pPr>
              <w:spacing w:before="54" w:line="223" w:lineRule="auto"/>
              <w:ind w:left="7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预算单位</w:t>
            </w:r>
          </w:p>
        </w:tc>
        <w:tc>
          <w:tcPr>
            <w:tcW w:w="7489" w:type="dxa"/>
            <w:gridSpan w:val="2"/>
          </w:tcPr>
          <w:p>
            <w:pPr>
              <w:spacing w:before="54" w:line="223" w:lineRule="auto"/>
              <w:ind w:firstLine="1764" w:firstLineChars="7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  <w:lang w:eastAsia="zh-CN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  <w:lang w:eastAsia="zh-CN"/>
              </w:rPr>
              <w:t>坝乡卫生院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397" w:type="dxa"/>
            <w:gridSpan w:val="3"/>
            <w:vMerge w:val="restart"/>
            <w:tcBorders>
              <w:bottom w:val="nil"/>
            </w:tcBorders>
          </w:tcPr>
          <w:p>
            <w:pPr>
              <w:spacing w:before="243" w:line="232" w:lineRule="auto"/>
              <w:ind w:right="693"/>
              <w:jc w:val="center"/>
              <w:rPr>
                <w:rFonts w:ascii="宋体" w:hAnsi="宋体" w:eastAsia="宋体" w:cs="宋体"/>
                <w:spacing w:val="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项目资金</w:t>
            </w:r>
          </w:p>
          <w:p>
            <w:pPr>
              <w:spacing w:before="243" w:line="232" w:lineRule="auto"/>
              <w:ind w:right="69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3221" w:type="dxa"/>
          </w:tcPr>
          <w:p>
            <w:pPr>
              <w:spacing w:before="55" w:line="222" w:lineRule="auto"/>
              <w:ind w:left="1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年度资金总额:</w:t>
            </w:r>
          </w:p>
        </w:tc>
        <w:tc>
          <w:tcPr>
            <w:tcW w:w="4268" w:type="dxa"/>
          </w:tcPr>
          <w:p>
            <w:pPr>
              <w:spacing w:before="55" w:line="222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397" w:type="dxa"/>
            <w:gridSpan w:val="3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221" w:type="dxa"/>
          </w:tcPr>
          <w:p>
            <w:pPr>
              <w:spacing w:before="56" w:line="221" w:lineRule="auto"/>
              <w:ind w:left="7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其中：财政拨款</w:t>
            </w:r>
          </w:p>
        </w:tc>
        <w:tc>
          <w:tcPr>
            <w:tcW w:w="4268" w:type="dxa"/>
          </w:tcPr>
          <w:p>
            <w:pPr>
              <w:spacing w:before="56" w:line="221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397" w:type="dxa"/>
            <w:gridSpan w:val="3"/>
            <w:vMerge w:val="continue"/>
            <w:tcBorders>
              <w:top w:val="nil"/>
            </w:tcBorders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221" w:type="dxa"/>
          </w:tcPr>
          <w:p>
            <w:pPr>
              <w:spacing w:before="56" w:line="221" w:lineRule="auto"/>
              <w:ind w:left="129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其他资金</w:t>
            </w:r>
          </w:p>
        </w:tc>
        <w:tc>
          <w:tcPr>
            <w:tcW w:w="4268" w:type="dxa"/>
          </w:tcPr>
          <w:p>
            <w:pPr>
              <w:spacing w:before="56" w:line="221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6" w:hRule="atLeast"/>
        </w:trPr>
        <w:tc>
          <w:tcPr>
            <w:tcW w:w="736" w:type="dxa"/>
            <w:tcBorders>
              <w:top w:val="nil"/>
            </w:tcBorders>
            <w:textDirection w:val="tbRlV"/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9150" w:type="dxa"/>
            <w:gridSpan w:val="4"/>
          </w:tcPr>
          <w:p>
            <w:pPr>
              <w:spacing w:before="37" w:line="230" w:lineRule="auto"/>
              <w:ind w:left="28" w:right="143" w:firstLine="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通过规范医疗卫生管理经费使用，优化医疗服务流程、强化公共卫生防控能力、完善内部管理机制，实现医疗服务质量稳步提升、公共卫生任务全面落实、群众就医体验持续改善，达到区域基层医疗卫生服务基本标准。通过合理分配管理经费，完成设备更新、人员培训、公共卫生服务开展等核心任务，实现门诊服务效率提升、医疗质量达标、公共卫生项目覆盖率达标，服务对象满意度达到既定标准。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  <w:lang w:eastAsia="zh-CN"/>
              </w:rPr>
              <w:t>基本医疗服务：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  <w:lang w:eastAsia="zh-CN"/>
              </w:rPr>
              <w:t>加强医疗质量管理，保障医疗安全。争取医院门诊人次在2025年基础上增加2%，住院人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  <w:lang w:eastAsia="zh-CN"/>
              </w:rPr>
              <w:t>次增加3%。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  <w:lang w:eastAsia="zh-CN"/>
              </w:rPr>
              <w:t>本公共卫生：着力做好基本公共卫生工作。严格执行疫情监测、报告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  <w:lang w:eastAsia="zh-CN"/>
              </w:rPr>
              <w:t>制度，突出重点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  <w:lang w:eastAsia="zh-CN"/>
              </w:rPr>
              <w:t>疾病防控及突发公共卫生事件处置和救灾防病工作。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抓好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重点人群管理工作。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</w:p>
          <w:p>
            <w:pPr>
              <w:spacing w:before="62"/>
              <w:ind w:left="93" w:right="6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绩效指标</w:t>
            </w:r>
          </w:p>
        </w:tc>
        <w:tc>
          <w:tcPr>
            <w:tcW w:w="682" w:type="dxa"/>
            <w:tcBorders>
              <w:top w:val="single" w:color="auto" w:sz="4" w:space="0"/>
            </w:tcBorders>
          </w:tcPr>
          <w:p>
            <w:pPr>
              <w:spacing w:before="25"/>
              <w:ind w:left="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一级</w:t>
            </w:r>
          </w:p>
          <w:p>
            <w:pPr>
              <w:ind w:left="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指标</w:t>
            </w:r>
          </w:p>
        </w:tc>
        <w:tc>
          <w:tcPr>
            <w:tcW w:w="979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before="1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二级指标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spacing w:before="139"/>
              <w:ind w:left="12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三级指标</w:t>
            </w:r>
          </w:p>
        </w:tc>
        <w:tc>
          <w:tcPr>
            <w:tcW w:w="4268" w:type="dxa"/>
          </w:tcPr>
          <w:p>
            <w:pPr>
              <w:spacing w:before="138"/>
              <w:ind w:left="37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  <w:lang w:eastAsia="zh-CN"/>
              </w:rPr>
              <w:t>指标值（包含数字及文字描述）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2" w:type="dxa"/>
            <w:vMerge w:val="restart"/>
            <w:tcBorders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  <w:p>
            <w:pPr>
              <w:spacing w:before="62"/>
              <w:ind w:left="85" w:right="65" w:firstLine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项目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完成</w:t>
            </w:r>
          </w:p>
        </w:tc>
        <w:tc>
          <w:tcPr>
            <w:tcW w:w="979" w:type="dxa"/>
            <w:vMerge w:val="restart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spacing w:before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数量指标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spacing w:before="6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专业技术人员</w:t>
            </w:r>
          </w:p>
        </w:tc>
        <w:tc>
          <w:tcPr>
            <w:tcW w:w="4268" w:type="dxa"/>
          </w:tcPr>
          <w:p>
            <w:pPr>
              <w:spacing w:before="62"/>
              <w:ind w:left="3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spacing w:before="63"/>
              <w:jc w:val="left"/>
              <w:rPr>
                <w:rFonts w:ascii="宋体" w:hAnsi="宋体" w:eastAsia="宋体" w:cs="宋体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公共卫生服务覆盖人数</w:t>
            </w:r>
          </w:p>
        </w:tc>
        <w:tc>
          <w:tcPr>
            <w:tcW w:w="4268" w:type="dxa"/>
          </w:tcPr>
          <w:p>
            <w:pPr>
              <w:spacing w:before="63"/>
              <w:ind w:left="33"/>
              <w:jc w:val="left"/>
              <w:rPr>
                <w:rFonts w:ascii="宋体" w:hAnsi="宋体" w:eastAsia="宋体" w:cs="宋体"/>
                <w:spacing w:val="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  <w:lang w:eastAsia="zh-CN"/>
              </w:rPr>
              <w:t>7981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spacing w:before="6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医务人员培训次数</w:t>
            </w:r>
          </w:p>
        </w:tc>
        <w:tc>
          <w:tcPr>
            <w:tcW w:w="4268" w:type="dxa"/>
          </w:tcPr>
          <w:p>
            <w:pPr>
              <w:spacing w:before="63"/>
              <w:ind w:left="33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≥12次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门诊服务人次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较上年增长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pStyle w:val="8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公共卫生项目完成合格率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工作完成质量95%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经费使用合规性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无违规支出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spacing w:before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时效指标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经费支出完成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率</w:t>
            </w:r>
          </w:p>
        </w:tc>
        <w:tc>
          <w:tcPr>
            <w:tcW w:w="4268" w:type="dxa"/>
          </w:tcPr>
          <w:p>
            <w:pPr>
              <w:spacing w:before="66"/>
              <w:ind w:left="3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spacing w:before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成本指标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spacing w:before="6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机构运行经费</w:t>
            </w:r>
          </w:p>
        </w:tc>
        <w:tc>
          <w:tcPr>
            <w:tcW w:w="4268" w:type="dxa"/>
          </w:tcPr>
          <w:p>
            <w:pPr>
              <w:spacing w:before="69"/>
              <w:ind w:left="3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>其中：劳务费20万元、药品及耗材65万元、机构运转经费15万元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spacing w:before="62"/>
              <w:ind w:left="88" w:right="65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项目</w:t>
            </w:r>
            <w:r>
              <w:rPr>
                <w:rFonts w:ascii="宋体" w:hAnsi="宋体" w:eastAsia="宋体" w:cs="宋体"/>
                <w:sz w:val="24"/>
                <w:szCs w:val="24"/>
              </w:rPr>
              <w:t>效益</w:t>
            </w:r>
          </w:p>
        </w:tc>
        <w:tc>
          <w:tcPr>
            <w:tcW w:w="979" w:type="dxa"/>
            <w:vMerge w:val="restart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spacing w:before="199"/>
              <w:ind w:right="14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eastAsia="zh-CN"/>
              </w:rPr>
              <w:t>社会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效益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门诊次均费用增长率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较上年增长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群众就医成本降低幅度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较上年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下降3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辖区居民就医可及性提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升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成效明显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传染病防控成效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较上年下降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慢病规范管理率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慢病规范管理率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≥90%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8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医疗废弃物合规处置率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医疗废弃物合规处置率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Merge w:val="continue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污水处理达标率</w:t>
            </w:r>
          </w:p>
        </w:tc>
        <w:tc>
          <w:tcPr>
            <w:tcW w:w="4268" w:type="dxa"/>
          </w:tcPr>
          <w:p>
            <w:pPr>
              <w:pStyle w:val="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污水处理达标率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bottom w:val="single" w:color="auto" w:sz="4" w:space="0"/>
            </w:tcBorders>
          </w:tcPr>
          <w:p>
            <w:pPr>
              <w:spacing w:before="78"/>
              <w:ind w:left="8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满意</w:t>
            </w:r>
          </w:p>
          <w:p>
            <w:pPr>
              <w:spacing w:before="3"/>
              <w:ind w:left="180" w:right="65" w:hanging="9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</w:rPr>
              <w:t>标</w:t>
            </w:r>
          </w:p>
        </w:tc>
        <w:tc>
          <w:tcPr>
            <w:tcW w:w="979" w:type="dxa"/>
            <w:vMerge w:val="restar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  <w:p>
            <w:pPr>
              <w:spacing w:before="61"/>
              <w:ind w:left="7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满意度指标</w:t>
            </w: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患者满意度</w:t>
            </w:r>
          </w:p>
        </w:tc>
        <w:tc>
          <w:tcPr>
            <w:tcW w:w="4268" w:type="dxa"/>
          </w:tcPr>
          <w:p>
            <w:pPr>
              <w:spacing w:before="135"/>
              <w:ind w:left="3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95%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jc w:val="center"/>
              <w:rPr>
                <w:sz w:val="24"/>
                <w:szCs w:val="24"/>
              </w:rPr>
            </w:pPr>
          </w:p>
        </w:tc>
        <w:tc>
          <w:tcPr>
            <w:tcW w:w="322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"/>
              <w:snapToGrid w:val="0"/>
              <w:spacing w:line="24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辖区居民对公共卫生服务满意度</w:t>
            </w:r>
          </w:p>
        </w:tc>
        <w:tc>
          <w:tcPr>
            <w:tcW w:w="4268" w:type="dxa"/>
            <w:shd w:val="clear" w:color="auto" w:fill="auto"/>
          </w:tcPr>
          <w:p>
            <w:pPr>
              <w:spacing w:before="135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eastAsia="zh-CN"/>
              </w:rPr>
              <w:t>95%</w:t>
            </w:r>
          </w:p>
        </w:tc>
      </w:tr>
    </w:tbl>
    <w:p>
      <w:pPr>
        <w:pStyle w:val="2"/>
        <w:spacing w:before="84"/>
        <w:jc w:val="center"/>
        <w:rPr>
          <w:lang w:eastAsia="zh-CN"/>
        </w:rPr>
      </w:pPr>
    </w:p>
    <w:sectPr>
      <w:pgSz w:w="11905" w:h="16837"/>
      <w:pgMar w:top="608" w:right="1138" w:bottom="0" w:left="106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A53"/>
    <w:rsid w:val="007903BA"/>
    <w:rsid w:val="00D551EA"/>
    <w:rsid w:val="00E25A53"/>
    <w:rsid w:val="04C00BF1"/>
    <w:rsid w:val="0BD62CFA"/>
    <w:rsid w:val="12AB4721"/>
    <w:rsid w:val="17C17821"/>
    <w:rsid w:val="18487E6D"/>
    <w:rsid w:val="19791FBE"/>
    <w:rsid w:val="1F722DAA"/>
    <w:rsid w:val="211B7B5B"/>
    <w:rsid w:val="22A9372C"/>
    <w:rsid w:val="2BC50A0A"/>
    <w:rsid w:val="2FC8307F"/>
    <w:rsid w:val="33711E28"/>
    <w:rsid w:val="36820043"/>
    <w:rsid w:val="383C5DD6"/>
    <w:rsid w:val="45C017C3"/>
    <w:rsid w:val="4F3D2C02"/>
    <w:rsid w:val="55920BBB"/>
    <w:rsid w:val="593B550D"/>
    <w:rsid w:val="59854F6F"/>
    <w:rsid w:val="616E3B38"/>
    <w:rsid w:val="62E5554B"/>
    <w:rsid w:val="7A442194"/>
    <w:rsid w:val="7B5D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7"/>
      <w:szCs w:val="17"/>
    </w:rPr>
  </w:style>
  <w:style w:type="paragraph" w:styleId="3">
    <w:name w:val="footnote text"/>
    <w:basedOn w:val="1"/>
    <w:qFormat/>
    <w:uiPriority w:val="0"/>
    <w:rPr>
      <w:sz w:val="18"/>
    </w:rPr>
  </w:style>
  <w:style w:type="character" w:styleId="6">
    <w:name w:val="footnote reference"/>
    <w:basedOn w:val="5"/>
    <w:qFormat/>
    <w:uiPriority w:val="0"/>
    <w:rPr>
      <w:vertAlign w:val="superscript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paragraph" w:customStyle="1" w:styleId="9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976</Characters>
  <Lines>8</Lines>
  <Paragraphs>2</Paragraphs>
  <TotalTime>1</TotalTime>
  <ScaleCrop>false</ScaleCrop>
  <LinksUpToDate>false</LinksUpToDate>
  <CharactersWithSpaces>1145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2026-01-08T04:22:00Z</dcterms:created>
  <dc:creator>Administrator</dc:creator>
  <cp:lastModifiedBy>龙柱洵</cp:lastModifiedBy>
  <dcterms:modified xsi:type="dcterms:W3CDTF">2026-01-23T01:26:30Z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2026-01-08T10:28:25Z</vt:filetime>
  </property>
  <property fmtid="{D5CDD505-2E9C-101B-9397-08002B2CF9AE}" pid="4" name="KSOTemplateDocerSaveRecord">
    <vt:lpwstr>eyJoZGlkIjoiNmI0ZGM4MDRkMGQ3YTQ4ZDI0Zjg5N2FlMGYzZTQ5ODkiLCJ1c2VySWQiOiI5ODI0NzkwIn0=</vt:lpwstr>
  </property>
  <property fmtid="{D5CDD505-2E9C-101B-9397-08002B2CF9AE}" pid="5" name="KSOProductBuildVer">
    <vt:lpwstr>2052-11.8.6.11825</vt:lpwstr>
  </property>
  <property fmtid="{D5CDD505-2E9C-101B-9397-08002B2CF9AE}" pid="6" name="ICV">
    <vt:lpwstr>AAFC5EC908F34BB78C6C7772FD7F5E37</vt:lpwstr>
  </property>
</Properties>
</file>